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363</w:t>
      </w:r>
    </w:p>
    <w:p>
      <w:r>
        <w:t>Bundesgericht (BGE), 2000-09-25, FR</w:t>
      </w:r>
    </w:p>
    <w:p>
      <w:r>
        <w:rPr>
          <w:b/>
        </w:rPr>
        <w:t xml:space="preserve">Quelle: </w:t>
      </w:r>
      <w:r>
        <w:t>https://mcp.opencaselaw.ch/entscheid/bge_126 V 363</w:t>
      </w:r>
    </w:p>
    <w:p>
      <w:r>
        <w:t>FR: ATF 126 V 363</w:t>
      </w:r>
    </w:p>
    <w:p>
      <w:r>
        <w:t>IT: DTF 126 V 363</w:t>
      </w:r>
    </w:p>
    <w:p>
      <w:pPr>
        <w:pStyle w:val="Heading2"/>
      </w:pPr>
      <w:r>
        <w:t>Regeste</w:t>
      </w:r>
    </w:p>
    <w:p>
      <w:r>
        <w:t>Regeste Art. 84 Abs. 2 UVG; Art. 86 Abs. 1 lit. b VUV: Übergangsentschädigung. Gesetzmässigkeit von Art. 86 Abs. 1 lit. b VUV, wonach der von einer Arbeit befristet oder dauernd ausgeschlossene oder für eine solche nur als bedingt geeignet erklärte Arbeitnehmer vom Versicherer eine Übergangsentschädigung erhält, wenn er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w:t>
      </w:r>
    </w:p>
    <w:p>
      <w:pPr>
        <w:pStyle w:val="Heading2"/>
      </w:pPr>
      <w:r>
        <w:t>Erwägungen</w:t>
      </w:r>
    </w:p>
    <w:p>
      <w:r>
        <w:rPr>
          <w:b/>
        </w:rPr>
        <w:t>E. 2</w:t>
      </w:r>
    </w:p>
    <w:p>
      <w:r>
        <w:t>a) 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Edicté sur la base de cette délégation législative, l'art. 86 al. 1 de l'ordonnance sur la prévention des accidents et des maladies professionnelles (OPA) prévoit que le travailleur qui a été définitivement BGE 126 V 363 S. 365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effectivement survenu pour raisons médicales (let. b). b) En l'occurrence, il est constant que le recourant ne remplit pas les conditions réglementaires pour prétendre une indemnité pour changement d'occupation, si bien que l'intimée était fondée à reconsidérer sa décision; il ne le conteste d'ailleurs pas. En revanche, il soutient que la disposition de l' art. 86 al. 1 let. b OPA excède le cadre de la délégation législative qui figure à l'art. 84 al. 2, seconde phrase LAA. D'après lui, cette disposition consacre une inégalité de traitement entre assurés en ce sens que certains assurés dont la maladie professionnelle se déclare après une période d'exposition très longue seraient indemnisés, tandis que d'autres qui en développent les symptômes dans un laps de temps très court se verraient privés de toute indemnisation. Or, les conséquences économiques de la maladie professionnelle sont les mêmes pour ces deux catégories d'assurés et aucune circonstance particulière ne justifie une telle différence de traitement.</w:t>
      </w:r>
    </w:p>
    <w:p>
      <w:r>
        <w:rPr>
          <w:b/>
        </w:rPr>
        <w:t>E. 3</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il a été jugé sous l'empire de la Constitution du 29 mai 1874 qu'une norme réglementaire viole l' art. 4 aCst.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BGE 126 V 363 S. 366 particulier, de savoir si elle constitue le moyen le mieux approprié pour atteindre ce but ( ATF 125 V 30 consid. 6a, ATF 124 II 245 consid. 3, 583 consid. 2a, ATF 124 V 15 consid. 2a, 194 consid. 5a et les références). Il n'en va pas autrement sous l'empire de la nouvelle Constitution fédérale entrée en vigueur le 1er janvier 2000 ( ATF 126 V 53 consid. 3b).</w:t>
      </w:r>
    </w:p>
    <w:p>
      <w:r>
        <w:rPr>
          <w:b/>
        </w:rPr>
        <w:t>E. 4</w:t>
      </w:r>
    </w:p>
    <w:p>
      <w:r>
        <w:t>a) Dans son message du 18 août 1976, le Conseil fédéral écrivait à propos de l'art. 84 al. 2 de son projet de loi fédérale sur l'assurance-accidents, dont le texte a été repris avec une légère modification d'ordre formel dans la LAA: "Nous aurons à régler l'indemnisation des assurés qui, par suite de leur exclusion de l'activité qu'ils exerçaient précédemment, subissent un préjudice considérable et n'ont pas droit à d'autre prestations d'assurance, en appliquant par analogie les articles 18 à 21 de l'ordonnance du 23 décembre 1960 relative à la prévention des maladies professionnelles." (FF 1976 III 218 sv.). Cette proposition n'a donné lieu à aucune discussion lors des débats parlementaires. On doit dès lors admettre que c'est en pleine connaissance de cause - et notamment en connaissant le contenu des art. 18 à 21 de l'ordonnance précitée - que le législateur a délégué cette compétence au Conseil fédéral. Or, le texte de l' art. 86 al. 1 let. b OPA est calqué sur celui de l'art. 18 let. b de l'ordonnance du 23 décembre 1960 relative à la prévention des maladies professionnelles (RO 1960 1725). b) En réalité, comme l'ont déjà relevé les premiers juges, le recourant confond deux questions: celle de la durée d'exposition à la substance nocive qui est à l'origine de la maladie professionnelle assurée, et celle de la durée de l'occupation dont le changement forcé est susceptible d'occasionner à l'assuré le "préjudice considérable dans (son) avancement" visé par la loi. En ce qui concerne la durée de l'exposition à la substance nocive, il s'agit d'une condition de l'existence d'une maladie professionnelle qui s'apprécie de cas en cas et, sur ce point, la réglementation légale ne prévoit aucun délai, ni d'exposition au risque, ni de prise en charge, comme c'était déjà le cas sous l'ancien droit (MARIE-CLAUDE HESSLER, Les maladies professionnelles dans la CEE et en Suisse, Genève 1971, p. 72; voir également ATFA 1965 p. 222 consid. 2 in fine). En revanche, s'agissant du préjudice que l'indemnité pour changement d'occupation est censée réparer, il est logique d'en soumettre l'indemnisation à la condition, en particulier, que l'assuré ait occupé son emploi pendant une durée minimale (300 jours au cours des deux années précédant la notification de la décision d'exclusion ou le changement d'occupation effectivement BGE 126 V 363 S. 367 survenu pour raisons médicales) chez un même employeur assujetti à l'assurance. C'est en effet ce dernier - et non l'assuré - qui finance l'assurance obligatoire contre les maladies professionnelles ( art. 91 al. 1 LAA ) et les primes qu'il paye sont proportionnelles aux risques présentés par son entreprise ( art. 92 al. 2 LAA ). Cela tient aussi à la nature de cette indemnité qui s'inscrit dans le cadre de la prévention des maladies professionnelles - laquelle incombe au premier chef à l'employeur ( art. 82 al. 1 LAA ) - et qui doit permettre à l'assuré victime d'une maladie professionnelle de se reconvertir dans une profession convenant mieux à son état de santé dans les limites de sa capacité de gain (cf. ATF 120 V 135 sv.; RAMA 1995 no U 225 p. 164 consid. 2b). Or, le préjudice "considérable" ("erheblich", "notevole") qui, selon l' art. 84 al. 2 LAA , doit avoir été causé à l'assuré "dans son avancement", c'est-à-dire dans ses perspectives de carrière professionnelle, présuppose l'existence de telles perspectives, ce qu'il n'est généralement possible d'établir avec une vraisemblance suffisante qu'après que l'assuré a été occupé pendant un certain temps dans l'entreprise où il a exercé l'activité dangereuse. En reprenant dans l'OPA de 1983 la norme qui figurait déjà dans son ordonnance de 1960, et dont la légalité ne semble jamais avoir été mise en doute, le Conseil fédéral n'a donc pas excédé la marge d'appréciation dont il disposait. Le moyen tiré de l'illégalité de l' art. 86 al. 1 let. b OPA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